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222-F TYPE B2TF ou d</w:t>
      </w:r>
      <w:r w:rsidDel="00000000" w:rsidR="00000000" w:rsidRPr="00000000">
        <w:rPr>
          <w:b w:val="1"/>
          <w:smallCaps w:val="1"/>
          <w:sz w:val="36"/>
          <w:szCs w:val="36"/>
          <w:highlight w:val="white"/>
          <w:rtl w:val="0"/>
        </w:rPr>
        <w:t xml:space="preserve">e</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 TYPE B2SF</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Chaudière compacte gaz à condensation avec échangeur en inox et production d’eau chaude.</w:t>
      </w:r>
      <w:r w:rsidDel="00000000" w:rsidR="00000000" w:rsidRPr="00000000">
        <w:rPr>
          <w:rFonts w:ascii="Arial" w:cs="Arial" w:eastAsia="Arial" w:hAnsi="Arial"/>
          <w:b w:val="1"/>
          <w:i w:val="0"/>
          <w:smallCaps w:val="1"/>
          <w:strike w:val="0"/>
          <w:color w:val="000000"/>
          <w:sz w:val="28"/>
          <w:szCs w:val="28"/>
          <w:highlight w:val="white"/>
          <w:u w:val="none"/>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de chauffage type B2TF, ECS par ballon 100l avec un système de charge</w:t>
        <w:tab/>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de 1,9 à 19 kW régime 50/30°C – boost ECS </w:t>
      </w:r>
      <w:r w:rsidDel="00000000" w:rsidR="00000000" w:rsidRPr="00000000">
        <w:rPr>
          <w:sz w:val="20"/>
          <w:szCs w:val="20"/>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kW</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ab/>
        <w:tab/>
        <w:tab/>
        <w:tab/>
        <w:t xml:space="preserve">de 1,9 à 25 kW régime 50/30°C – boost ECS 28,6 kW</w:t>
      </w:r>
    </w:p>
    <w:p w:rsidR="00000000" w:rsidDel="00000000" w:rsidP="00000000" w:rsidRDefault="00000000" w:rsidRPr="00000000" w14:paraId="00000007">
      <w:pPr>
        <w:rPr>
          <w:sz w:val="20"/>
          <w:szCs w:val="20"/>
        </w:rPr>
      </w:pPr>
      <w:r w:rsidDel="00000000" w:rsidR="00000000" w:rsidRPr="00000000">
        <w:rPr>
          <w:sz w:val="20"/>
          <w:szCs w:val="20"/>
          <w:rtl w:val="0"/>
        </w:rPr>
        <w:tab/>
        <w:tab/>
        <w:tab/>
        <w:tab/>
        <w:t xml:space="preserve">de 1,9 à 32 kW régime 50/30°C – boost ECS 33,9 kW</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Puissance de chauffage type B2SF, ECS par ballon 130l à serpentin </w:t>
      </w:r>
    </w:p>
    <w:p w:rsidR="00000000" w:rsidDel="00000000" w:rsidP="00000000" w:rsidRDefault="00000000" w:rsidRPr="00000000" w14:paraId="0000000A">
      <w:pPr>
        <w:rPr>
          <w:sz w:val="20"/>
          <w:szCs w:val="20"/>
        </w:rPr>
      </w:pPr>
      <w:r w:rsidDel="00000000" w:rsidR="00000000" w:rsidRPr="00000000">
        <w:rPr>
          <w:sz w:val="20"/>
          <w:szCs w:val="20"/>
          <w:rtl w:val="0"/>
        </w:rPr>
        <w:tab/>
        <w:tab/>
        <w:tab/>
        <w:tab/>
        <w:t xml:space="preserve">de 1,9 à 11 kW régime 50/30°C – boost ECS 17,4 kW</w:t>
      </w:r>
    </w:p>
    <w:p w:rsidR="00000000" w:rsidDel="00000000" w:rsidP="00000000" w:rsidRDefault="00000000" w:rsidRPr="00000000" w14:paraId="0000000B">
      <w:pPr>
        <w:rPr>
          <w:sz w:val="20"/>
          <w:szCs w:val="20"/>
        </w:rPr>
      </w:pPr>
      <w:r w:rsidDel="00000000" w:rsidR="00000000" w:rsidRPr="00000000">
        <w:rPr>
          <w:sz w:val="20"/>
          <w:szCs w:val="20"/>
          <w:rtl w:val="0"/>
        </w:rPr>
        <w:tab/>
        <w:tab/>
        <w:tab/>
        <w:tab/>
        <w:t xml:space="preserve">de 1,9 à 19 kW régime 50/30°C – boost ECS 22 kW</w:t>
      </w:r>
    </w:p>
    <w:p w:rsidR="00000000" w:rsidDel="00000000" w:rsidP="00000000" w:rsidRDefault="00000000" w:rsidRPr="00000000" w14:paraId="0000000C">
      <w:pPr>
        <w:rPr>
          <w:sz w:val="20"/>
          <w:szCs w:val="20"/>
        </w:rPr>
      </w:pPr>
      <w:r w:rsidDel="00000000" w:rsidR="00000000" w:rsidRPr="00000000">
        <w:rPr>
          <w:sz w:val="20"/>
          <w:szCs w:val="20"/>
          <w:rtl w:val="0"/>
        </w:rPr>
        <w:tab/>
        <w:tab/>
        <w:tab/>
        <w:tab/>
        <w:t xml:space="preserve">de 1,9 à 25 kW régime 50/30°C – boost ECS 28,6 kW</w:t>
      </w:r>
    </w:p>
    <w:p w:rsidR="00000000" w:rsidDel="00000000" w:rsidP="00000000" w:rsidRDefault="00000000" w:rsidRPr="00000000" w14:paraId="0000000D">
      <w:pPr>
        <w:rPr>
          <w:sz w:val="20"/>
          <w:szCs w:val="20"/>
        </w:rPr>
      </w:pPr>
      <w:r w:rsidDel="00000000" w:rsidR="00000000" w:rsidRPr="00000000">
        <w:rPr>
          <w:sz w:val="20"/>
          <w:szCs w:val="20"/>
          <w:rtl w:val="0"/>
        </w:rPr>
        <w:tab/>
        <w:tab/>
        <w:tab/>
        <w:tab/>
        <w:t xml:space="preserve">de 1,9 à 32 kW régime 50/30°C – boost ECS 33,9 kW</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tabs>
          <w:tab w:val="left" w:pos="0"/>
          <w:tab w:val="left" w:pos="336"/>
          <w:tab w:val="left" w:pos="720"/>
        </w:tabs>
        <w:rPr>
          <w:sz w:val="20"/>
          <w:szCs w:val="20"/>
        </w:rPr>
      </w:pPr>
      <w:r w:rsidDel="00000000" w:rsidR="00000000" w:rsidRPr="00000000">
        <w:rPr>
          <w:sz w:val="20"/>
          <w:szCs w:val="20"/>
          <w:rtl w:val="0"/>
        </w:rPr>
        <w:t xml:space="preserve">Rendement normalisé jusqu’à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12">
      <w:pPr>
        <w:tabs>
          <w:tab w:val="left" w:pos="0"/>
          <w:tab w:val="left" w:pos="336"/>
        </w:tabs>
        <w:rPr>
          <w:sz w:val="20"/>
          <w:szCs w:val="20"/>
        </w:rPr>
      </w:pPr>
      <w:r w:rsidDel="00000000" w:rsidR="00000000" w:rsidRPr="00000000">
        <w:rPr>
          <w:rtl w:val="0"/>
        </w:rPr>
      </w:r>
    </w:p>
    <w:p w:rsidR="00000000" w:rsidDel="00000000" w:rsidP="00000000" w:rsidRDefault="00000000" w:rsidRPr="00000000" w14:paraId="00000013">
      <w:pPr>
        <w:tabs>
          <w:tab w:val="left" w:pos="0"/>
          <w:tab w:val="left" w:pos="336"/>
          <w:tab w:val="left" w:pos="720"/>
        </w:tabs>
        <w:rPr>
          <w:sz w:val="20"/>
          <w:szCs w:val="20"/>
          <w:highlight w:val="white"/>
        </w:rPr>
      </w:pPr>
      <w:r w:rsidDel="00000000" w:rsidR="00000000" w:rsidRPr="00000000">
        <w:rPr>
          <w:sz w:val="20"/>
          <w:szCs w:val="20"/>
          <w:rtl w:val="0"/>
        </w:rPr>
        <w:t xml:space="preserve">La chaudière est </w:t>
      </w:r>
      <w:r w:rsidDel="00000000" w:rsidR="00000000" w:rsidRPr="00000000">
        <w:rPr>
          <w:sz w:val="20"/>
          <w:szCs w:val="20"/>
          <w:highlight w:val="white"/>
          <w:rtl w:val="0"/>
        </w:rPr>
        <w:t xml:space="preserve">certifiée CE en tant que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 </w:t>
      </w:r>
      <w:r w:rsidDel="00000000" w:rsidR="00000000" w:rsidRPr="00000000">
        <w:rPr>
          <w:sz w:val="20"/>
          <w:szCs w:val="20"/>
          <w:highlight w:val="white"/>
          <w:rtl w:val="0"/>
        </w:rPr>
        <w:t xml:space="preserve">dans la catégorie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et satisfait à l’AR du 18/03/97 (directive 92/42 CEE). </w:t>
      </w:r>
    </w:p>
    <w:p w:rsidR="00000000" w:rsidDel="00000000" w:rsidP="00000000" w:rsidRDefault="00000000" w:rsidRPr="00000000" w14:paraId="00000014">
      <w:pPr>
        <w:tabs>
          <w:tab w:val="left" w:pos="0"/>
          <w:tab w:val="left" w:pos="336"/>
          <w:tab w:val="left" w:pos="720"/>
        </w:tabs>
        <w:rPr>
          <w:sz w:val="20"/>
          <w:szCs w:val="20"/>
          <w:highlight w:val="white"/>
        </w:rPr>
      </w:pPr>
      <w:r w:rsidDel="00000000" w:rsidR="00000000" w:rsidRPr="00000000">
        <w:rPr>
          <w:sz w:val="20"/>
          <w:szCs w:val="20"/>
          <w:highlight w:val="white"/>
          <w:rtl w:val="0"/>
        </w:rPr>
        <w:t xml:space="preserve">Elle porte le label d’efficacité énergétique A. La chaudière peut être convertie au propane à la demande. </w:t>
      </w:r>
      <w:r w:rsidDel="00000000" w:rsidR="00000000" w:rsidRPr="00000000">
        <w:rPr>
          <w:sz w:val="20"/>
          <w:szCs w:val="20"/>
          <w:rtl w:val="0"/>
        </w:rPr>
        <w:t xml:space="preserve">La mise en place doit être effectuée conformément </w:t>
      </w:r>
      <w:r w:rsidDel="00000000" w:rsidR="00000000" w:rsidRPr="00000000">
        <w:rPr>
          <w:sz w:val="20"/>
          <w:szCs w:val="20"/>
          <w:highlight w:val="white"/>
          <w:rtl w:val="0"/>
        </w:rPr>
        <w:t xml:space="preserve">à la NBN D51-003 (+ addenda) et à la NBN B 61-002 (+addenda).</w:t>
      </w:r>
    </w:p>
    <w:p w:rsidR="00000000" w:rsidDel="00000000" w:rsidP="00000000" w:rsidRDefault="00000000" w:rsidRPr="00000000" w14:paraId="00000015">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9">
      <w:pPr>
        <w:tabs>
          <w:tab w:val="left" w:pos="0"/>
          <w:tab w:val="left" w:pos="336"/>
          <w:tab w:val="left" w:pos="720"/>
        </w:tabs>
        <w:rPr>
          <w:sz w:val="20"/>
          <w:szCs w:val="20"/>
          <w:highlight w:val="white"/>
        </w:rPr>
      </w:pPr>
      <w:r w:rsidDel="00000000" w:rsidR="00000000" w:rsidRPr="00000000">
        <w:rPr>
          <w:sz w:val="20"/>
          <w:szCs w:val="20"/>
          <w:highlight w:val="white"/>
          <w:rtl w:val="0"/>
        </w:rPr>
        <w:br w:type="textWrapping"/>
        <w:t xml:space="preserve">L’appareil peut fonctionner en mode cheminée (Bxx) ou ventouse (Cxx).</w:t>
      </w:r>
    </w:p>
    <w:p w:rsidR="00000000" w:rsidDel="00000000" w:rsidP="00000000" w:rsidRDefault="00000000" w:rsidRPr="00000000" w14:paraId="0000001A">
      <w:pPr>
        <w:rPr>
          <w:sz w:val="20"/>
          <w:szCs w:val="20"/>
          <w:highlight w:val="white"/>
        </w:rPr>
      </w:pPr>
      <w:r w:rsidDel="00000000" w:rsidR="00000000" w:rsidRPr="00000000">
        <w:rPr>
          <w:sz w:val="20"/>
          <w:szCs w:val="20"/>
          <w:rtl w:val="0"/>
        </w:rPr>
        <w:t xml:space="preserve">Tous les composants de la chaudière sont accessibles par l’avant.</w:t>
      </w: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br w:type="textWrapping"/>
        <w:t xml:space="preserve">Brûleur</w:t>
      </w:r>
    </w:p>
    <w:p w:rsidR="00000000" w:rsidDel="00000000" w:rsidP="00000000" w:rsidRDefault="00000000" w:rsidRPr="00000000" w14:paraId="0000001E">
      <w:pPr>
        <w:tabs>
          <w:tab w:val="left" w:pos="0"/>
          <w:tab w:val="left" w:pos="336"/>
          <w:tab w:val="left" w:pos="720"/>
        </w:tabs>
        <w:rPr/>
      </w:pPr>
      <w:r w:rsidDel="00000000" w:rsidR="00000000" w:rsidRPr="00000000">
        <w:rPr>
          <w:sz w:val="20"/>
          <w:szCs w:val="20"/>
          <w:rtl w:val="0"/>
        </w:rPr>
        <w:t xml:space="preserve">Le brûleur est modulant avec prémélange, de</w:t>
      </w:r>
      <w:r w:rsidDel="00000000" w:rsidR="00000000" w:rsidRPr="00000000">
        <w:rPr>
          <w:sz w:val="20"/>
          <w:szCs w:val="20"/>
          <w:highlight w:val="white"/>
          <w:rtl w:val="0"/>
        </w:rPr>
        <w:t xml:space="preserve"> forme cylindre en acier inoxydable. Il garantit une émission extrêmement faible de polluants Nox&lt;23 mg/kWh et CO&lt;80 mg/kWh.</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1/17 selon le type et la puissance sélectionnée.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5">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Grâce à la mesure du débit massique, ce système de contrôle de la combustion peut faire varier la vitesse du ventilateur en fonction de la force du vent à l’extérieur et la résistance du conduit d’évacuation des gaz brûlés.</w:t>
      </w:r>
    </w:p>
    <w:p w:rsidR="00000000" w:rsidDel="00000000" w:rsidP="00000000" w:rsidRDefault="00000000" w:rsidRPr="00000000" w14:paraId="00000026">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A">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B">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C">
      <w:pPr>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w:t>
      </w:r>
      <w:r w:rsidDel="00000000" w:rsidR="00000000" w:rsidRPr="00000000">
        <w:rPr>
          <w:sz w:val="20"/>
          <w:szCs w:val="20"/>
          <w:rtl w:val="0"/>
        </w:rPr>
        <w:t xml:space="preserve">La chaudière peut être raccordée hydrauliquement aux tuyauteries d’installation vers le haut, vers la gauche ou la droite. </w:t>
      </w:r>
    </w:p>
    <w:p w:rsidR="00000000" w:rsidDel="00000000" w:rsidP="00000000" w:rsidRDefault="00000000" w:rsidRPr="00000000" w14:paraId="0000002D">
      <w:pPr>
        <w:rPr>
          <w:sz w:val="20"/>
          <w:szCs w:val="20"/>
          <w:highlight w:val="white"/>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La version B2TF est équipée pour la production d’eau chaude sanitaire d’un système de charge avec échangeur de chaleur à plaques inox et boiler tampon en émail de 100 litres. Ce modèle est prévu pour fonctionner avec une qualité d’eau sanitaire adoucie (&lt;20°dH ou &lt;3,6mol/m³).</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La version B2SF est équipée pour la production d’eau chaude sanitaire d’un boiler avec serpentin en émail d’une capacité de 130 litres. Ce modèle est prévu pour fonctionner avec une qualité d’eau sanitaire non-adoucie (&gt;20°dH ou &gt;3,6mol/m³).</w:t>
      </w:r>
    </w:p>
    <w:p w:rsidR="00000000" w:rsidDel="00000000" w:rsidP="00000000" w:rsidRDefault="00000000" w:rsidRPr="00000000" w14:paraId="00000031">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La chaudière est équipée d’une régulation à température constante et d’une régulation à température variable. Le tableau de régulation à température constante permet la commande d’un circuit de chauffage direct et une production d’eau chaude sanitaire. Le tableau de régulation à température variable fonctionne avec une sonde extérieure avec fil (en option). Il permet la commande d’un circuit direct, trois circuits mélangés et une charge sanitaire. Un contrôle de l’ambiance peut se faire via des commandes à distance. Le tableau de commande est équipé d’un écran tactile couleur 7’’.</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38">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39">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tabs>
          <w:tab w:val="left" w:pos="0"/>
          <w:tab w:val="left" w:pos="336"/>
          <w:tab w:val="left" w:pos="720"/>
        </w:tabs>
        <w:rPr>
          <w:sz w:val="20"/>
          <w:szCs w:val="20"/>
        </w:rPr>
      </w:pPr>
      <w:r w:rsidDel="00000000" w:rsidR="00000000" w:rsidRPr="00000000">
        <w:rPr>
          <w:sz w:val="20"/>
          <w:szCs w:val="20"/>
          <w:rtl w:val="0"/>
        </w:rPr>
        <w:t xml:space="preserve">Un cockpit énergie est accessible par le tableau de commande ou l’app ViCare. Il permet l’affichage des consommations en gaz et électricité de la chaudière et affiche également les apports d’énergie d’un système solaire, si présent. </w:t>
      </w:r>
    </w:p>
    <w:p w:rsidR="00000000" w:rsidDel="00000000" w:rsidP="00000000" w:rsidRDefault="00000000" w:rsidRPr="00000000" w14:paraId="0000003D">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E">
      <w:pPr>
        <w:tabs>
          <w:tab w:val="left" w:pos="0"/>
          <w:tab w:val="left" w:pos="336"/>
          <w:tab w:val="left" w:pos="720"/>
        </w:tabs>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3F">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0">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ab/>
        <w:t xml:space="preserve">- protection contre le gel</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7">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vase d’expansion intégré chauffage 18 litres</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circulateur haute efficacité et vannes à 3 voies</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régulation à température constante et climatique intégrée</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un assistant de mise en service via la régulation ou une app sur smartphone/tablette</w:t>
      </w:r>
    </w:p>
    <w:p w:rsidR="00000000" w:rsidDel="00000000" w:rsidP="00000000" w:rsidRDefault="00000000" w:rsidRPr="00000000" w14:paraId="0000004E">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4F">
      <w:pPr>
        <w:rPr>
          <w:sz w:val="20"/>
          <w:szCs w:val="20"/>
        </w:rPr>
      </w:pPr>
      <w:r w:rsidDel="00000000" w:rsidR="00000000" w:rsidRPr="00000000">
        <w:rPr>
          <w:sz w:val="20"/>
          <w:szCs w:val="20"/>
          <w:rtl w:val="0"/>
        </w:rPr>
        <w:tab/>
        <w:t xml:space="preserve">- contrôle électronique de la qualité de la combustion lambda pro Plus</w:t>
      </w:r>
    </w:p>
    <w:p w:rsidR="00000000" w:rsidDel="00000000" w:rsidP="00000000" w:rsidRDefault="00000000" w:rsidRPr="00000000" w14:paraId="00000050">
      <w:pPr>
        <w:ind w:firstLine="720"/>
        <w:rPr>
          <w:sz w:val="20"/>
          <w:szCs w:val="20"/>
        </w:rPr>
      </w:pPr>
      <w:r w:rsidDel="00000000" w:rsidR="00000000" w:rsidRPr="00000000">
        <w:rPr>
          <w:sz w:val="20"/>
          <w:szCs w:val="20"/>
          <w:rtl w:val="0"/>
        </w:rPr>
        <w:t xml:space="preserve">- adaptation automatique à la longueur de cheminée et les conditions climatiques</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52">
      <w:pPr>
        <w:ind w:firstLine="720"/>
        <w:rPr>
          <w:sz w:val="20"/>
          <w:szCs w:val="20"/>
        </w:rPr>
      </w:pPr>
      <w:r w:rsidDel="00000000" w:rsidR="00000000" w:rsidRPr="00000000">
        <w:rPr>
          <w:sz w:val="20"/>
          <w:szCs w:val="20"/>
          <w:rtl w:val="0"/>
        </w:rPr>
        <w:t xml:space="preserve">- set de raccordement hydraulique et vanne gaz TAE (raccord d’arrêt à fusible thermique)</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support mural au choix</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55">
      <w:pPr>
        <w:ind w:firstLine="720"/>
        <w:rPr>
          <w:sz w:val="20"/>
          <w:szCs w:val="20"/>
        </w:rPr>
      </w:pPr>
      <w:r w:rsidDel="00000000" w:rsidR="00000000" w:rsidRPr="00000000">
        <w:rPr>
          <w:sz w:val="20"/>
          <w:szCs w:val="20"/>
          <w:rtl w:val="0"/>
        </w:rPr>
        <w:t xml:space="preserve">- système de charge avec échangeur à plaques et ballon de 100 litres émaillé ou système de ballon à </w:t>
        <w:br w:type="textWrapping"/>
        <w:tab/>
        <w:t xml:space="preserve">  serpentin de 130 litres émaillé</w:t>
      </w:r>
    </w:p>
    <w:p w:rsidR="00000000" w:rsidDel="00000000" w:rsidP="00000000" w:rsidRDefault="00000000" w:rsidRPr="00000000" w14:paraId="00000056">
      <w:pPr>
        <w:rPr>
          <w:sz w:val="20"/>
          <w:szCs w:val="20"/>
        </w:rPr>
      </w:pPr>
      <w:r w:rsidDel="00000000" w:rsidR="00000000" w:rsidRPr="00000000">
        <w:rPr>
          <w:sz w:val="20"/>
          <w:szCs w:val="20"/>
          <w:rtl w:val="0"/>
        </w:rPr>
        <w:tab/>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1"/>
          <w:i w:val="0"/>
          <w:smallCaps w:val="1"/>
          <w:strike w:val="0"/>
          <w:color w:val="000000"/>
          <w:sz w:val="20"/>
          <w:szCs w:val="20"/>
          <w:highlight w:val="white"/>
          <w:u w:val="none"/>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MARQUE DE RÉFÉRENCE : </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VIESSMANN VITODENS 222-F OU </w:t>
      </w:r>
      <w:r w:rsidDel="00000000" w:rsidR="00000000" w:rsidRPr="00000000">
        <w:rPr>
          <w:b w:val="1"/>
          <w:smallCaps w:val="1"/>
          <w:sz w:val="20"/>
          <w:szCs w:val="20"/>
          <w:highlight w:val="white"/>
          <w:rtl w:val="0"/>
        </w:rPr>
        <w:t xml:space="preserve">ÉQUIVALENT</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1"/>
          <w:i w:val="0"/>
          <w:smallCaps w:val="1"/>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5522676</wp:posOffset>
          </wp:positionH>
          <wp:positionV relativeFrom="page">
            <wp:posOffset>342900</wp:posOffset>
          </wp:positionV>
          <wp:extent cx="1572260" cy="35179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222-F</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4FBE"/>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2z0" w:customStyle="1">
    <w:name w:val="WW8Num2z0"/>
    <w:uiPriority w:val="99"/>
    <w:rsid w:val="00C04FBE"/>
    <w:rPr>
      <w:rFonts w:ascii="Symbol" w:hAnsi="Symbol"/>
      <w:sz w:val="18"/>
    </w:rPr>
  </w:style>
  <w:style w:type="character" w:styleId="Absatz-Standardschriftart1" w:customStyle="1">
    <w:name w:val="Absatz-Standardschriftart1"/>
    <w:uiPriority w:val="99"/>
    <w:rsid w:val="00C04FBE"/>
  </w:style>
  <w:style w:type="character" w:styleId="WW-Absatz-Standardschriftart" w:customStyle="1">
    <w:name w:val="WW-Absatz-Standardschriftart"/>
    <w:uiPriority w:val="99"/>
    <w:rsid w:val="00C04FBE"/>
  </w:style>
  <w:style w:type="character" w:styleId="WW-Absatz-Standardschriftart1" w:customStyle="1">
    <w:name w:val="WW-Absatz-Standardschriftart1"/>
    <w:uiPriority w:val="99"/>
    <w:rsid w:val="00C04FBE"/>
  </w:style>
  <w:style w:type="character" w:styleId="WW-Absatz-Standardschriftart11" w:customStyle="1">
    <w:name w:val="WW-Absatz-Standardschriftart11"/>
    <w:uiPriority w:val="99"/>
    <w:rsid w:val="00C04FBE"/>
  </w:style>
  <w:style w:type="character" w:styleId="WW-Absatz-Standardschriftart111" w:customStyle="1">
    <w:name w:val="WW-Absatz-Standardschriftart111"/>
    <w:uiPriority w:val="99"/>
    <w:rsid w:val="00C04FBE"/>
  </w:style>
  <w:style w:type="character" w:styleId="WW-Absatz-Standardschriftart1111" w:customStyle="1">
    <w:name w:val="WW-Absatz-Standardschriftart1111"/>
    <w:uiPriority w:val="99"/>
    <w:rsid w:val="00C04FBE"/>
  </w:style>
  <w:style w:type="character" w:styleId="WW-Absatz-Standardschriftart11111" w:customStyle="1">
    <w:name w:val="WW-Absatz-Standardschriftart11111"/>
    <w:uiPriority w:val="99"/>
    <w:rsid w:val="00C04FBE"/>
  </w:style>
  <w:style w:type="character" w:styleId="WW-Absatz-Standardschriftart111111" w:customStyle="1">
    <w:name w:val="WW-Absatz-Standardschriftart111111"/>
    <w:uiPriority w:val="99"/>
    <w:rsid w:val="00C04FBE"/>
  </w:style>
  <w:style w:type="character" w:styleId="WW-Absatz-Standardschriftart1111111" w:customStyle="1">
    <w:name w:val="WW-Absatz-Standardschriftart1111111"/>
    <w:uiPriority w:val="99"/>
    <w:rsid w:val="00C04FBE"/>
  </w:style>
  <w:style w:type="character" w:styleId="Nummerierungszeichen" w:customStyle="1">
    <w:name w:val="Nummerierungszeichen"/>
    <w:uiPriority w:val="99"/>
    <w:rsid w:val="00C04FBE"/>
  </w:style>
  <w:style w:type="character" w:styleId="Aufzhlungszeichen1" w:customStyle="1">
    <w:name w:val="Aufzählungszeichen1"/>
    <w:uiPriority w:val="99"/>
    <w:rsid w:val="00C04FBE"/>
    <w:rPr>
      <w:rFonts w:ascii="StarSymbol" w:hAnsi="StarSymbol"/>
      <w:sz w:val="18"/>
    </w:rPr>
  </w:style>
  <w:style w:type="paragraph" w:styleId="berschrift" w:customStyle="1">
    <w:name w:val="Überschrift"/>
    <w:basedOn w:val="Normal"/>
    <w:next w:val="BodyText"/>
    <w:uiPriority w:val="99"/>
    <w:rsid w:val="00C04FBE"/>
    <w:pPr>
      <w:keepNext w:val="1"/>
      <w:spacing w:after="120" w:before="240"/>
    </w:pPr>
    <w:rPr>
      <w:rFonts w:eastAsia="MS Mincho"/>
      <w:sz w:val="28"/>
      <w:szCs w:val="28"/>
    </w:rPr>
  </w:style>
  <w:style w:type="paragraph" w:styleId="BodyText">
    <w:name w:val="Body Text"/>
    <w:basedOn w:val="Normal"/>
    <w:link w:val="BodyTextChar"/>
    <w:uiPriority w:val="99"/>
    <w:semiHidden w:val="1"/>
    <w:rsid w:val="00C04FBE"/>
    <w:pPr>
      <w:spacing w:after="120"/>
    </w:pPr>
  </w:style>
  <w:style w:type="character" w:styleId="BodyTextChar" w:customStyle="1">
    <w:name w:val="Body Text Char"/>
    <w:link w:val="BodyText"/>
    <w:uiPriority w:val="99"/>
    <w:semiHidden w:val="1"/>
    <w:rsid w:val="004D3EE3"/>
    <w:rPr>
      <w:rFonts w:ascii="Arial" w:cs="Tahoma" w:hAnsi="Arial"/>
      <w:sz w:val="24"/>
      <w:szCs w:val="24"/>
      <w:lang w:eastAsia="de-DE" w:val="de-DE"/>
    </w:rPr>
  </w:style>
  <w:style w:type="paragraph" w:styleId="List">
    <w:name w:val="List"/>
    <w:basedOn w:val="BodyText"/>
    <w:uiPriority w:val="99"/>
    <w:semiHidden w:val="1"/>
    <w:rsid w:val="00C04FBE"/>
  </w:style>
  <w:style w:type="paragraph" w:styleId="Beschriftung1" w:customStyle="1">
    <w:name w:val="Beschriftung1"/>
    <w:basedOn w:val="Normal"/>
    <w:uiPriority w:val="99"/>
    <w:rsid w:val="00C04FBE"/>
    <w:pPr>
      <w:suppressLineNumbers w:val="1"/>
      <w:spacing w:after="120" w:before="120"/>
    </w:pPr>
    <w:rPr>
      <w:i w:val="1"/>
      <w:iCs w:val="1"/>
    </w:rPr>
  </w:style>
  <w:style w:type="paragraph" w:styleId="Verzeichnis" w:customStyle="1">
    <w:name w:val="Verzeichnis"/>
    <w:basedOn w:val="Normal"/>
    <w:uiPriority w:val="99"/>
    <w:rsid w:val="00C04FBE"/>
    <w:pPr>
      <w:suppressLineNumbers w:val="1"/>
    </w:pPr>
  </w:style>
  <w:style w:type="paragraph" w:styleId="TabellenInhalt" w:customStyle="1">
    <w:name w:val="Tabellen Inhalt"/>
    <w:basedOn w:val="Normal"/>
    <w:uiPriority w:val="99"/>
    <w:rsid w:val="00C04FBE"/>
    <w:pPr>
      <w:suppressLineNumbers w:val="1"/>
    </w:pPr>
  </w:style>
  <w:style w:type="paragraph" w:styleId="Tabellenberschrift" w:customStyle="1">
    <w:name w:val="Tabellen Überschrift"/>
    <w:basedOn w:val="TabellenInhalt"/>
    <w:uiPriority w:val="99"/>
    <w:rsid w:val="00C04FBE"/>
    <w:pPr>
      <w:jc w:val="center"/>
    </w:pPr>
    <w:rPr>
      <w:b w:val="1"/>
      <w:bCs w:val="1"/>
    </w:rPr>
  </w:style>
  <w:style w:type="paragraph" w:styleId="Bullet1" w:customStyle="1">
    <w:name w:val="Bullet 1"/>
    <w:basedOn w:val="Normal"/>
    <w:uiPriority w:val="99"/>
    <w:rsid w:val="00C04FBE"/>
    <w:pPr>
      <w:tabs>
        <w:tab w:val="left" w:pos="0"/>
        <w:tab w:val="left" w:pos="336"/>
      </w:tabs>
      <w:ind w:left="336"/>
    </w:pPr>
    <w:rPr>
      <w:color w:val="000000"/>
    </w:rPr>
  </w:style>
  <w:style w:type="paragraph" w:styleId="Koptekst1" w:customStyle="1">
    <w:name w:val="Koptekst1"/>
    <w:basedOn w:val="Normal"/>
    <w:uiPriority w:val="99"/>
    <w:rsid w:val="00C04FBE"/>
    <w:pPr>
      <w:tabs>
        <w:tab w:val="left" w:pos="0"/>
      </w:tabs>
    </w:pPr>
    <w:rPr>
      <w:color w:val="000000"/>
    </w:rPr>
  </w:style>
  <w:style w:type="paragraph" w:styleId="Header">
    <w:name w:val="header"/>
    <w:basedOn w:val="Normal"/>
    <w:link w:val="HeaderChar"/>
    <w:uiPriority w:val="99"/>
    <w:semiHidden w:val="1"/>
    <w:rsid w:val="00C04FBE"/>
    <w:pPr>
      <w:suppressLineNumbers w:val="1"/>
      <w:tabs>
        <w:tab w:val="center" w:pos="4818"/>
        <w:tab w:val="right" w:pos="9637"/>
      </w:tabs>
    </w:pPr>
  </w:style>
  <w:style w:type="character" w:styleId="HeaderChar" w:customStyle="1">
    <w:name w:val="Header Char"/>
    <w:link w:val="Header"/>
    <w:uiPriority w:val="99"/>
    <w:semiHidden w:val="1"/>
    <w:rsid w:val="004D3EE3"/>
    <w:rPr>
      <w:rFonts w:ascii="Arial" w:cs="Tahoma" w:hAnsi="Arial"/>
      <w:sz w:val="24"/>
      <w:szCs w:val="24"/>
      <w:lang w:eastAsia="de-DE" w:val="de-DE"/>
    </w:rPr>
  </w:style>
  <w:style w:type="paragraph" w:styleId="Footer">
    <w:name w:val="footer"/>
    <w:basedOn w:val="Normal"/>
    <w:link w:val="FooterChar"/>
    <w:uiPriority w:val="99"/>
    <w:semiHidden w:val="1"/>
    <w:rsid w:val="00C04FBE"/>
    <w:pPr>
      <w:suppressLineNumbers w:val="1"/>
      <w:tabs>
        <w:tab w:val="center" w:pos="4818"/>
        <w:tab w:val="right" w:pos="9637"/>
      </w:tabs>
    </w:pPr>
  </w:style>
  <w:style w:type="character" w:styleId="FooterChar" w:customStyle="1">
    <w:name w:val="Footer Char"/>
    <w:link w:val="Footer"/>
    <w:uiPriority w:val="99"/>
    <w:semiHidden w:val="1"/>
    <w:rsid w:val="004D3EE3"/>
    <w:rPr>
      <w:rFonts w:ascii="Arial" w:cs="Tahoma" w:hAnsi="Arial"/>
      <w:sz w:val="24"/>
      <w:szCs w:val="24"/>
      <w:lang w:eastAsia="de-DE" w:val="de-DE"/>
    </w:rPr>
  </w:style>
  <w:style w:type="paragraph" w:styleId="DefaultText" w:customStyle="1">
    <w:name w:val="Default Text"/>
    <w:basedOn w:val="Normal"/>
    <w:uiPriority w:val="99"/>
    <w:rsid w:val="00C04FBE"/>
    <w:rPr>
      <w:color w:val="000000"/>
    </w:rPr>
  </w:style>
  <w:style w:type="paragraph" w:styleId="WW-Standaard" w:customStyle="1">
    <w:name w:val="WW-Standaard"/>
    <w:basedOn w:val="Normal"/>
    <w:uiPriority w:val="99"/>
    <w:rsid w:val="00C04FBE"/>
    <w:rPr>
      <w:color w:val="000000"/>
    </w:rPr>
  </w:style>
  <w:style w:type="paragraph" w:styleId="Vorgabetext" w:customStyle="1">
    <w:name w:val="Vorgabetext"/>
    <w:basedOn w:val="Normal"/>
    <w:uiPriority w:val="99"/>
    <w:rsid w:val="00C04FBE"/>
    <w:pPr>
      <w:tabs>
        <w:tab w:val="left" w:pos="0"/>
      </w:tabs>
    </w:pPr>
    <w:rPr>
      <w:color w:val="000000"/>
    </w:rPr>
  </w:style>
  <w:style w:type="paragraph" w:styleId="Standaardte1" w:customStyle="1">
    <w:name w:val="Standaardte:1"/>
    <w:basedOn w:val="Normal"/>
    <w:uiPriority w:val="99"/>
    <w:rsid w:val="00C04FBE"/>
    <w:pPr>
      <w:tabs>
        <w:tab w:val="left" w:pos="0"/>
      </w:tabs>
    </w:pPr>
    <w:rPr>
      <w:color w:val="000000"/>
    </w:rPr>
  </w:style>
  <w:style w:type="paragraph" w:styleId="Standaardte2" w:customStyle="1">
    <w:name w:val="Standaardte:2"/>
    <w:basedOn w:val="Normal"/>
    <w:uiPriority w:val="99"/>
    <w:rsid w:val="00C04FBE"/>
    <w:pPr>
      <w:tabs>
        <w:tab w:val="left" w:pos="0"/>
      </w:tabs>
    </w:pPr>
    <w:rPr>
      <w:color w:val="000000"/>
    </w:rPr>
  </w:style>
  <w:style w:type="paragraph" w:styleId="wyg" w:customStyle="1">
    <w:name w:val="wyg"/>
    <w:basedOn w:val="Normal"/>
    <w:uiPriority w:val="99"/>
    <w:rsid w:val="00C04FBE"/>
    <w:pPr>
      <w:tabs>
        <w:tab w:val="left" w:pos="0"/>
      </w:tabs>
    </w:pPr>
    <w:rPr>
      <w:b w:val="1"/>
      <w:color w:val="000000"/>
      <w:sz w:val="28"/>
      <w:u w:val="words"/>
      <w:lang w:val="en-US"/>
    </w:rPr>
  </w:style>
  <w:style w:type="paragraph" w:styleId="BalloonText">
    <w:name w:val="Balloon Text"/>
    <w:basedOn w:val="Normal"/>
    <w:link w:val="BalloonTextChar"/>
    <w:uiPriority w:val="99"/>
    <w:semiHidden w:val="1"/>
    <w:rsid w:val="00A82D0F"/>
    <w:rPr>
      <w:rFonts w:ascii="Tahoma" w:hAnsi="Tahoma"/>
      <w:sz w:val="16"/>
      <w:szCs w:val="16"/>
    </w:rPr>
  </w:style>
  <w:style w:type="character" w:styleId="BalloonTextChar" w:customStyle="1">
    <w:name w:val="Balloon Text Char"/>
    <w:link w:val="BalloonText"/>
    <w:uiPriority w:val="99"/>
    <w:semiHidden w:val="1"/>
    <w:rsid w:val="00A82D0F"/>
    <w:rPr>
      <w:rFonts w:ascii="Tahoma" w:cs="Tahoma" w:hAnsi="Tahoma"/>
      <w:sz w:val="16"/>
      <w:szCs w:val="16"/>
      <w:lang w:eastAsia="de-DE"/>
    </w:rPr>
  </w:style>
  <w:style w:type="character" w:styleId="tw4winMark" w:customStyle="1">
    <w:name w:val="tw4winMark"/>
    <w:uiPriority w:val="99"/>
    <w:rsid w:val="00751C81"/>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5u5y+tqEcalXAlWO3+d1yxJEzQ==">AMUW2mVUpx6kPqKsZt1aWGPQYEbnWso+/dXYY+ertVHfBxdYk5Nplhl7GmNZSscoVmo/pTTuvcX1YwUtBNqB43l5vgWx0Tx04timE2QemmJX31HDOXjzCXdL5gB7u3hDkdIEGgIdnUHh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2013-08-21T10:09:00Z</dcterms:created>
  <dc:creator>Dave Dumoulin</dc:creator>
</cp:coreProperties>
</file>