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222-W TYPE B2LF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Chaudière gaz murale à condensation avec échangeur en inox et production d’eau chaude par système de charge et tampon inox de 46l</w:t>
      </w:r>
    </w:p>
    <w:p w:rsidR="00000000" w:rsidDel="00000000" w:rsidP="00000000" w:rsidRDefault="00000000" w:rsidRPr="00000000" w14:paraId="00000003">
      <w:pPr>
        <w:rPr>
          <w:smallCaps w:val="1"/>
          <w:color w:val="000000"/>
          <w:sz w:val="20"/>
          <w:szCs w:val="20"/>
        </w:rPr>
      </w:pPr>
      <w:r w:rsidDel="00000000" w:rsidR="00000000" w:rsidRPr="00000000">
        <w:rPr>
          <w:smallCaps w:val="1"/>
          <w:color w:val="000000"/>
          <w:sz w:val="20"/>
          <w:szCs w:val="20"/>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chauffage</w:t>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1,9 à 11 kW régime 50/30°C – Boost ECS 22 kW</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1,9 à 19 kW régime 50/30°C – Boost ECS 26,5 kW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1,9 à 25 kW régime 50/30°C – Boost ECS 30,7 kW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1,9 à 32 kW régime 50/30°C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Boost ECS 33,</w:t>
      </w:r>
      <w:r w:rsidDel="00000000" w:rsidR="00000000" w:rsidRPr="00000000">
        <w:rPr>
          <w:sz w:val="20"/>
          <w:szCs w:val="20"/>
          <w:highlight w:val="white"/>
          <w:rtl w:val="0"/>
        </w:rPr>
        <w:t xml:space="preserve">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 w:val="left" w:pos="681"/>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tabs>
          <w:tab w:val="left" w:pos="0"/>
          <w:tab w:val="left" w:pos="336"/>
          <w:tab w:val="left" w:pos="720"/>
        </w:tabs>
        <w:rPr>
          <w:sz w:val="20"/>
          <w:szCs w:val="20"/>
        </w:rPr>
      </w:pPr>
      <w:r w:rsidDel="00000000" w:rsidR="00000000" w:rsidRPr="00000000">
        <w:rPr>
          <w:sz w:val="20"/>
          <w:szCs w:val="20"/>
          <w:rtl w:val="0"/>
        </w:rPr>
        <w:t xml:space="preserve">Rendement normalisé jusqu’à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D">
      <w:pPr>
        <w:tabs>
          <w:tab w:val="left" w:pos="0"/>
          <w:tab w:val="left" w:pos="336"/>
        </w:tabs>
        <w:rPr>
          <w:sz w:val="20"/>
          <w:szCs w:val="20"/>
        </w:rPr>
      </w:pPr>
      <w:r w:rsidDel="00000000" w:rsidR="00000000" w:rsidRPr="00000000">
        <w:rPr>
          <w:rtl w:val="0"/>
        </w:rPr>
      </w:r>
    </w:p>
    <w:p w:rsidR="00000000" w:rsidDel="00000000" w:rsidP="00000000" w:rsidRDefault="00000000" w:rsidRPr="00000000" w14:paraId="0000000E">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w:t>
      </w:r>
    </w:p>
    <w:p w:rsidR="00000000" w:rsidDel="00000000" w:rsidP="00000000" w:rsidRDefault="00000000" w:rsidRPr="00000000" w14:paraId="0000000F">
      <w:pPr>
        <w:tabs>
          <w:tab w:val="left" w:pos="0"/>
          <w:tab w:val="left" w:pos="336"/>
          <w:tab w:val="left" w:pos="720"/>
        </w:tabs>
        <w:rPr>
          <w:sz w:val="20"/>
          <w:szCs w:val="20"/>
          <w:highlight w:val="white"/>
        </w:rPr>
      </w:pPr>
      <w:r w:rsidDel="00000000" w:rsidR="00000000" w:rsidRPr="00000000">
        <w:rPr>
          <w:sz w:val="20"/>
          <w:szCs w:val="20"/>
          <w:highlight w:val="white"/>
          <w:rtl w:val="0"/>
        </w:rPr>
        <w:t xml:space="preserve">Elle porte le label d’efficacité énergétique A. La chaudière peut être convertie au propane à la demande. </w:t>
      </w: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 addenda) et à la NBN B 61-002 (+addenda).</w:t>
      </w:r>
    </w:p>
    <w:p w:rsidR="00000000" w:rsidDel="00000000" w:rsidP="00000000" w:rsidRDefault="00000000" w:rsidRPr="00000000" w14:paraId="00000010">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4">
      <w:pPr>
        <w:tabs>
          <w:tab w:val="left" w:pos="0"/>
          <w:tab w:val="left" w:pos="336"/>
          <w:tab w:val="left" w:pos="720"/>
        </w:tabs>
        <w:rPr>
          <w:sz w:val="20"/>
          <w:szCs w:val="20"/>
          <w:highlight w:val="white"/>
        </w:rPr>
      </w:pPr>
      <w:r w:rsidDel="00000000" w:rsidR="00000000" w:rsidRPr="00000000">
        <w:rPr>
          <w:sz w:val="20"/>
          <w:szCs w:val="20"/>
          <w:highlight w:val="white"/>
          <w:rtl w:val="0"/>
        </w:rPr>
        <w:br w:type="textWrapping"/>
        <w:t xml:space="preserve">L’appareil peut fonctionner en mode cheminée (Bxx) ou ventouse (Cxx).</w:t>
      </w:r>
    </w:p>
    <w:p w:rsidR="00000000" w:rsidDel="00000000" w:rsidP="00000000" w:rsidRDefault="00000000" w:rsidRPr="00000000" w14:paraId="00000015">
      <w:pPr>
        <w:rPr>
          <w:sz w:val="20"/>
          <w:szCs w:val="20"/>
          <w:highlight w:val="white"/>
        </w:rPr>
      </w:pPr>
      <w:r w:rsidDel="00000000" w:rsidR="00000000" w:rsidRPr="00000000">
        <w:rPr>
          <w:sz w:val="20"/>
          <w:szCs w:val="20"/>
          <w:rtl w:val="0"/>
        </w:rPr>
        <w:t xml:space="preserve">Tous les composants de la chaudière sont accessibles par l’avant.</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br w:type="textWrapping"/>
        <w:t xml:space="preserve">Brûleur</w:t>
      </w:r>
    </w:p>
    <w:p w:rsidR="00000000" w:rsidDel="00000000" w:rsidP="00000000" w:rsidRDefault="00000000" w:rsidRPr="00000000" w14:paraId="00000018">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Nox&lt;23 mg/kWh et CO&lt;80 mg/kWh.</w:t>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1/17 selon le type et la puissance sélectionnée.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1F">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ce système de contrôle de la combustion peut faire varier la vitesse du ventilateur en fonction de la force du vent à l’extérieur et la résistance du conduit d’évacuation des gaz brûlés.</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1">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2">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La chaudière est équipée pour la production d’eau chaude sanitaire d’un système de charge avec échangeur de chaleur à plaques et boiler tampon en inox de 46 litres. Ce modèle est prévu pour fonctionner sur une qualité d’eau sanitaire adoucie (&lt;20°dH ou &lt;3,6mol/m³).</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tabs>
          <w:tab w:val="left" w:pos="0"/>
          <w:tab w:val="left" w:pos="336"/>
          <w:tab w:val="left" w:pos="720"/>
        </w:tabs>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Une solution de pré-montage sous forme d’un croisillon ou cadre permet d’installer tous les conduits hydrauliques et de gaz afin de monter la chaudière ultérieurement (mesure antivol)</w:t>
      </w:r>
      <w:r w:rsidDel="00000000" w:rsidR="00000000" w:rsidRPr="00000000">
        <w:rPr>
          <w:sz w:val="20"/>
          <w:szCs w:val="20"/>
          <w:rtl w:val="0"/>
        </w:rPr>
        <w:t xml:space="preserv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La chaudière est équipée d’une régulation à température constante et d’une régulation à température variable. Le tableau de régulation à température constante permet la commande d’un circuit de chauffage direct et une production d’eau chaude sanitaire. Le tableau de régulation à température variable fonctionne avec une sonde extérieure avec fil (en option). Il permet la commande d’un circuit direct, trois circuits mélangés et une charge sanitaire. Un contrôle de l’ambiance peut se faire via des commandes à distance. Le tableau de commande est équipé d’un écran tactile couleur 7’’ Il peut être installé en haut ou en bas sur la face avant de la chaudière.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2E">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2F">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tabs>
          <w:tab w:val="left" w:pos="0"/>
          <w:tab w:val="left" w:pos="336"/>
          <w:tab w:val="left" w:pos="720"/>
        </w:tabs>
        <w:rPr>
          <w:sz w:val="20"/>
          <w:szCs w:val="20"/>
        </w:rPr>
      </w:pPr>
      <w:r w:rsidDel="00000000" w:rsidR="00000000" w:rsidRPr="00000000">
        <w:rPr>
          <w:sz w:val="20"/>
          <w:szCs w:val="20"/>
          <w:rtl w:val="0"/>
        </w:rPr>
        <w:t xml:space="preserve">Un cockpit énergie est accessible par le tableau de commande ou l’app ViCare. Il permet l’affichage des consommations en gaz et électricité de la chaudière et affiche également les apports d’énergie d’un système solaire, si présent.</w:t>
      </w:r>
    </w:p>
    <w:p w:rsidR="00000000" w:rsidDel="00000000" w:rsidP="00000000" w:rsidRDefault="00000000" w:rsidRPr="00000000" w14:paraId="00000033">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35">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6">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284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284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284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0"/>
          <w:szCs w:val="20"/>
        </w:rPr>
      </w:pPr>
      <w:bookmarkStart w:colFirst="0" w:colLast="0" w:name="_heading=h.1fob9te" w:id="1"/>
      <w:bookmarkEnd w:id="1"/>
      <w:r w:rsidDel="00000000" w:rsidR="00000000" w:rsidRPr="00000000">
        <w:rPr>
          <w:sz w:val="20"/>
          <w:szCs w:val="20"/>
          <w:rtl w:val="0"/>
        </w:rPr>
        <w:t xml:space="preserve">- protection contre le gel</w:t>
      </w:r>
    </w:p>
    <w:p w:rsidR="00000000" w:rsidDel="00000000" w:rsidP="00000000" w:rsidRDefault="00000000" w:rsidRPr="00000000" w14:paraId="0000003E">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3F">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0">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1">
      <w:pPr>
        <w:rPr>
          <w:sz w:val="20"/>
          <w:szCs w:val="20"/>
        </w:rPr>
      </w:pPr>
      <w:r w:rsidDel="00000000" w:rsidR="00000000" w:rsidRPr="00000000">
        <w:rPr>
          <w:sz w:val="20"/>
          <w:szCs w:val="20"/>
          <w:rtl w:val="0"/>
        </w:rPr>
        <w:tab/>
        <w:t xml:space="preserve">- vase d’expansion intégré chauffage 10 litres</w:t>
      </w:r>
    </w:p>
    <w:p w:rsidR="00000000" w:rsidDel="00000000" w:rsidP="00000000" w:rsidRDefault="00000000" w:rsidRPr="00000000" w14:paraId="00000042">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3">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4">
      <w:pPr>
        <w:rPr>
          <w:sz w:val="20"/>
          <w:szCs w:val="20"/>
        </w:rPr>
      </w:pPr>
      <w:r w:rsidDel="00000000" w:rsidR="00000000" w:rsidRPr="00000000">
        <w:rPr>
          <w:sz w:val="20"/>
          <w:szCs w:val="20"/>
          <w:rtl w:val="0"/>
        </w:rPr>
        <w:tab/>
        <w:t xml:space="preserve">- système de charge avec échangeur à plaques et ballon en inox intégré (46 litres)</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47">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48">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contrôle électronique de la qualité de la combustion lambda pro Plus</w:t>
      </w:r>
    </w:p>
    <w:p w:rsidR="00000000" w:rsidDel="00000000" w:rsidP="00000000" w:rsidRDefault="00000000" w:rsidRPr="00000000" w14:paraId="0000004A">
      <w:pPr>
        <w:ind w:firstLine="720"/>
        <w:rPr>
          <w:sz w:val="20"/>
          <w:szCs w:val="20"/>
        </w:rPr>
      </w:pPr>
      <w:r w:rsidDel="00000000" w:rsidR="00000000" w:rsidRPr="00000000">
        <w:rPr>
          <w:sz w:val="20"/>
          <w:szCs w:val="20"/>
          <w:rtl w:val="0"/>
        </w:rPr>
        <w:t xml:space="preserve">- adaptation automatique à la longueur de cheminée et les conditions climatiques</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4C">
      <w:pPr>
        <w:ind w:firstLine="720"/>
        <w:rPr>
          <w:sz w:val="20"/>
          <w:szCs w:val="20"/>
        </w:rPr>
      </w:pPr>
      <w:r w:rsidDel="00000000" w:rsidR="00000000" w:rsidRPr="00000000">
        <w:rPr>
          <w:sz w:val="20"/>
          <w:szCs w:val="20"/>
          <w:rtl w:val="0"/>
        </w:rPr>
        <w:t xml:space="preserve">- set de raccordement hydraulique et vanne gaz TAE (raccord d’arrêt à fusible thermique)</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support mural au choix</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MARQUE DE </w:t>
      </w:r>
      <w:r w:rsidDel="00000000" w:rsidR="00000000" w:rsidRPr="00000000">
        <w:rPr>
          <w:b w:val="1"/>
          <w:sz w:val="20"/>
          <w:szCs w:val="20"/>
          <w:rtl w:val="0"/>
        </w:rPr>
        <w:t xml:space="preserve">RÉFÉRENCE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222-W OU </w:t>
      </w:r>
      <w:r w:rsidDel="00000000" w:rsidR="00000000" w:rsidRPr="00000000">
        <w:rPr>
          <w:b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5716048</wp:posOffset>
          </wp:positionH>
          <wp:positionV relativeFrom="page">
            <wp:posOffset>175260</wp:posOffset>
          </wp:positionV>
          <wp:extent cx="1570990" cy="35052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990" cy="35052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222-W</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uiPriority w:val="99"/>
    <w:semiHidden w:val="1"/>
    <w:rsid w:val="00D52357"/>
    <w:pPr>
      <w:suppressLineNumbers w:val="1"/>
      <w:tabs>
        <w:tab w:val="center" w:pos="4818"/>
        <w:tab w:val="right" w:pos="9637"/>
      </w:tabs>
    </w:pPr>
  </w:style>
  <w:style w:type="character" w:styleId="FooterChar" w:customStyle="1">
    <w:name w:val="Footer Char"/>
    <w:link w:val="Footer"/>
    <w:uiPriority w:val="99"/>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ListParagraph">
    <w:name w:val="List Paragraph"/>
    <w:basedOn w:val="Normal"/>
    <w:uiPriority w:val="34"/>
    <w:qFormat w:val="1"/>
    <w:rsid w:val="002A389B"/>
    <w:pPr>
      <w:ind w:left="720"/>
      <w:contextualSpacing w:val="1"/>
    </w:pPr>
  </w:style>
  <w:style w:type="paragraph" w:styleId="BalloonText">
    <w:name w:val="Balloon Text"/>
    <w:basedOn w:val="Normal"/>
    <w:link w:val="BalloonTextChar"/>
    <w:uiPriority w:val="99"/>
    <w:semiHidden w:val="1"/>
    <w:unhideWhenUsed w:val="1"/>
    <w:rsid w:val="00CB71B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71B7"/>
    <w:rPr>
      <w:rFonts w:ascii="Segoe UI" w:cs="Segoe UI" w:hAnsi="Segoe UI"/>
      <w:sz w:val="18"/>
      <w:szCs w:val="18"/>
      <w:lang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NQRQF4XgIwXlens/juTmfsPNQ==">AMUW2mWIDYbtyzbVhvLwT76AYCNGnwLuWSMSaPLGjOI1OiV6v/tXM0x92dUlRNWE0xvcLo8cmYiJNs3ttuOtlXv3bYo8Y7mrtok83gBJOvx0L3dUiEAkceFLePpGGGWwNHvmnMPZsnj8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2016-03-15T18:16:00Z</dcterms:created>
  <dc:creator>Dave Dumoulin</dc:creator>
</cp:coreProperties>
</file>