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200-G BWC(-M)</w:t>
      </w:r>
    </w:p>
    <w:p w:rsidR="00000000" w:rsidDel="00000000" w:rsidP="00000000" w:rsidRDefault="00000000" w:rsidRPr="00000000" w14:paraId="00000002">
      <w:pPr>
        <w:pStyle w:val="Subtitle"/>
        <w:pageBreakBefore w:val="0"/>
        <w:rPr/>
      </w:pPr>
      <w:bookmarkStart w:colFirst="0" w:colLast="0" w:name="_zeq8whucbojj" w:id="1"/>
      <w:bookmarkEnd w:id="1"/>
      <w:r w:rsidDel="00000000" w:rsidR="00000000" w:rsidRPr="00000000">
        <w:rPr>
          <w:rtl w:val="0"/>
        </w:rPr>
        <w:t xml:space="preserve">Regulation</w:t>
      </w:r>
    </w:p>
    <w:p w:rsidR="00000000" w:rsidDel="00000000" w:rsidP="00000000" w:rsidRDefault="00000000" w:rsidRPr="00000000" w14:paraId="00000003">
      <w:pPr>
        <w:pageBreakBefore w:val="0"/>
        <w:rPr/>
      </w:pPr>
      <w:r w:rsidDel="00000000" w:rsidR="00000000" w:rsidRPr="00000000">
        <w:rPr>
          <w:rtl w:val="0"/>
        </w:rPr>
        <w:t xml:space="preserve">La pompe à chaleur on/off sera équipée d'un contrôle électronique qui pourra gérer les circuits suivants :</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numPr>
          <w:ilvl w:val="0"/>
          <w:numId w:val="8"/>
        </w:numPr>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6">
      <w:pPr>
        <w:pageBreakBefore w:val="0"/>
        <w:numPr>
          <w:ilvl w:val="0"/>
          <w:numId w:val="8"/>
        </w:numPr>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7">
      <w:pPr>
        <w:pageBreakBefore w:val="0"/>
        <w:numPr>
          <w:ilvl w:val="0"/>
          <w:numId w:val="8"/>
        </w:numPr>
        <w:ind w:left="720" w:hanging="360"/>
      </w:pPr>
      <w:r w:rsidDel="00000000" w:rsidR="00000000" w:rsidRPr="00000000">
        <w:rPr>
          <w:rtl w:val="0"/>
        </w:rPr>
        <w:t xml:space="preserve">contrôle de la température en fonction du temps</w:t>
      </w:r>
    </w:p>
    <w:p w:rsidR="00000000" w:rsidDel="00000000" w:rsidP="00000000" w:rsidRDefault="00000000" w:rsidRPr="00000000" w14:paraId="00000008">
      <w:pPr>
        <w:pageBreakBefore w:val="0"/>
        <w:numPr>
          <w:ilvl w:val="0"/>
          <w:numId w:val="8"/>
        </w:numPr>
        <w:ind w:left="720" w:hanging="360"/>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pageBreakBefore w:val="0"/>
        <w:numPr>
          <w:ilvl w:val="0"/>
          <w:numId w:val="8"/>
        </w:numPr>
        <w:ind w:left="720" w:hanging="360"/>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pageBreakBefore w:val="0"/>
        <w:numPr>
          <w:ilvl w:val="0"/>
          <w:numId w:val="8"/>
        </w:numPr>
        <w:ind w:left="720" w:hanging="360"/>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pageBreakBefore w:val="0"/>
        <w:numPr>
          <w:ilvl w:val="0"/>
          <w:numId w:val="8"/>
        </w:numPr>
        <w:ind w:left="720" w:hanging="360"/>
      </w:pPr>
      <w:r w:rsidDel="00000000" w:rsidR="00000000" w:rsidRPr="00000000">
        <w:rPr>
          <w:rtl w:val="0"/>
        </w:rPr>
        <w:t xml:space="preserve">fonction de chauffage de la piscine</w:t>
      </w:r>
    </w:p>
    <w:p w:rsidR="00000000" w:rsidDel="00000000" w:rsidP="00000000" w:rsidRDefault="00000000" w:rsidRPr="00000000" w14:paraId="0000000C">
      <w:pPr>
        <w:pageBreakBefore w:val="0"/>
        <w:numPr>
          <w:ilvl w:val="0"/>
          <w:numId w:val="8"/>
        </w:numPr>
        <w:ind w:left="720" w:hanging="360"/>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pageBreakBefore w:val="0"/>
        <w:numPr>
          <w:ilvl w:val="0"/>
          <w:numId w:val="8"/>
        </w:numPr>
        <w:ind w:left="720" w:hanging="360"/>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pageBreakBefore w:val="0"/>
        <w:numPr>
          <w:ilvl w:val="0"/>
          <w:numId w:val="7"/>
        </w:numPr>
        <w:ind w:left="720" w:hanging="360"/>
      </w:pPr>
      <w:r w:rsidDel="00000000" w:rsidR="00000000" w:rsidRPr="00000000">
        <w:rPr>
          <w:rtl w:val="0"/>
        </w:rPr>
        <w:t xml:space="preserve">Interface KNX au moyen du Vitogate 200</w:t>
      </w:r>
    </w:p>
    <w:p w:rsidR="00000000" w:rsidDel="00000000" w:rsidP="00000000" w:rsidRDefault="00000000" w:rsidRPr="00000000" w14:paraId="00000011">
      <w:pPr>
        <w:pageBreakBefore w:val="0"/>
        <w:numPr>
          <w:ilvl w:val="0"/>
          <w:numId w:val="7"/>
        </w:numPr>
        <w:ind w:left="720" w:hanging="360"/>
      </w:pPr>
      <w:r w:rsidDel="00000000" w:rsidR="00000000" w:rsidRPr="00000000">
        <w:rPr>
          <w:rtl w:val="0"/>
        </w:rPr>
        <w:t xml:space="preserve">Interface Bacnet/Modbus au moyen du Vitogate 300</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pageBreakBefore w:val="0"/>
        <w:rPr/>
      </w:pPr>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pageBreakBefore w:val="0"/>
        <w:rPr/>
      </w:pPr>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Le contrôle est extensible via Vitoconnect</w:t>
      </w:r>
    </w:p>
    <w:p w:rsidR="00000000" w:rsidDel="00000000" w:rsidP="00000000" w:rsidRDefault="00000000" w:rsidRPr="00000000" w14:paraId="0000001A">
      <w:pPr>
        <w:pageBreakBefore w:val="0"/>
        <w:numPr>
          <w:ilvl w:val="0"/>
          <w:numId w:val="2"/>
        </w:numPr>
        <w:ind w:left="720" w:hanging="360"/>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pageBreakBefore w:val="0"/>
        <w:numPr>
          <w:ilvl w:val="0"/>
          <w:numId w:val="2"/>
        </w:numPr>
        <w:ind w:left="720" w:hanging="360"/>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3"/>
        <w:pageBreakBefore w:val="0"/>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numPr>
          <w:ilvl w:val="0"/>
          <w:numId w:val="9"/>
        </w:numPr>
        <w:ind w:left="720" w:hanging="360"/>
      </w:pPr>
      <w:r w:rsidDel="00000000" w:rsidR="00000000" w:rsidRPr="00000000">
        <w:rPr>
          <w:rtl w:val="0"/>
        </w:rPr>
        <w:t xml:space="preserve">1.2 kg (06)</w:t>
      </w:r>
    </w:p>
    <w:p w:rsidR="00000000" w:rsidDel="00000000" w:rsidP="00000000" w:rsidRDefault="00000000" w:rsidRPr="00000000" w14:paraId="00000022">
      <w:pPr>
        <w:numPr>
          <w:ilvl w:val="0"/>
          <w:numId w:val="9"/>
        </w:numPr>
        <w:ind w:left="720" w:hanging="360"/>
      </w:pPr>
      <w:r w:rsidDel="00000000" w:rsidR="00000000" w:rsidRPr="00000000">
        <w:rPr>
          <w:rtl w:val="0"/>
        </w:rPr>
        <w:t xml:space="preserve">1.7 kg (08)</w:t>
      </w:r>
    </w:p>
    <w:p w:rsidR="00000000" w:rsidDel="00000000" w:rsidP="00000000" w:rsidRDefault="00000000" w:rsidRPr="00000000" w14:paraId="00000023">
      <w:pPr>
        <w:numPr>
          <w:ilvl w:val="0"/>
          <w:numId w:val="9"/>
        </w:numPr>
        <w:ind w:left="720" w:hanging="360"/>
      </w:pPr>
      <w:r w:rsidDel="00000000" w:rsidR="00000000" w:rsidRPr="00000000">
        <w:rPr>
          <w:rtl w:val="0"/>
        </w:rPr>
        <w:t xml:space="preserve">1.8 kg (10)</w:t>
      </w:r>
    </w:p>
    <w:p w:rsidR="00000000" w:rsidDel="00000000" w:rsidP="00000000" w:rsidRDefault="00000000" w:rsidRPr="00000000" w14:paraId="00000024">
      <w:pPr>
        <w:numPr>
          <w:ilvl w:val="0"/>
          <w:numId w:val="9"/>
        </w:numPr>
        <w:ind w:left="720" w:hanging="360"/>
      </w:pPr>
      <w:r w:rsidDel="00000000" w:rsidR="00000000" w:rsidRPr="00000000">
        <w:rPr>
          <w:rtl w:val="0"/>
        </w:rPr>
        <w:t xml:space="preserve">1.95kg (13)</w:t>
      </w:r>
    </w:p>
    <w:p w:rsidR="00000000" w:rsidDel="00000000" w:rsidP="00000000" w:rsidRDefault="00000000" w:rsidRPr="00000000" w14:paraId="00000025">
      <w:pPr>
        <w:numPr>
          <w:ilvl w:val="0"/>
          <w:numId w:val="9"/>
        </w:numPr>
        <w:ind w:left="720" w:hanging="360"/>
      </w:pPr>
      <w:r w:rsidDel="00000000" w:rsidR="00000000" w:rsidRPr="00000000">
        <w:rPr>
          <w:rtl w:val="0"/>
        </w:rPr>
        <w:t xml:space="preserve">2.35 kg (17)</w:t>
      </w:r>
    </w:p>
    <w:p w:rsidR="00000000" w:rsidDel="00000000" w:rsidP="00000000" w:rsidRDefault="00000000" w:rsidRPr="00000000" w14:paraId="00000026">
      <w:pPr>
        <w:pageBreakBefore w:val="0"/>
        <w:rPr/>
      </w:pPr>
      <w:r w:rsidDel="00000000" w:rsidR="00000000" w:rsidRPr="00000000">
        <w:rPr>
          <w:rtl w:val="0"/>
        </w:rPr>
        <w:t xml:space="preserve">  </w:t>
      </w:r>
    </w:p>
    <w:p w:rsidR="00000000" w:rsidDel="00000000" w:rsidP="00000000" w:rsidRDefault="00000000" w:rsidRPr="00000000" w14:paraId="00000027">
      <w:pPr>
        <w:pageBreakBefore w:val="0"/>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8">
      <w:pPr>
        <w:pageBreakBefore w:val="0"/>
        <w:rPr/>
      </w:pPr>
      <w:r w:rsidDel="00000000" w:rsidR="00000000" w:rsidRPr="00000000">
        <w:rPr>
          <w:rtl w:val="0"/>
        </w:rPr>
        <w:t xml:space="preserve"> </w:t>
      </w:r>
    </w:p>
    <w:p w:rsidR="00000000" w:rsidDel="00000000" w:rsidP="00000000" w:rsidRDefault="00000000" w:rsidRPr="00000000" w14:paraId="00000029">
      <w:pPr>
        <w:pageBreakBefore w:val="0"/>
        <w:rPr/>
      </w:pPr>
      <w:r w:rsidDel="00000000" w:rsidR="00000000" w:rsidRPr="00000000">
        <w:rPr>
          <w:rtl w:val="0"/>
        </w:rPr>
        <w:t xml:space="preserve">Le circuit de refroidissement sera équipé de </w:t>
      </w:r>
      <w:r w:rsidDel="00000000" w:rsidR="00000000" w:rsidRPr="00000000">
        <w:rPr>
          <w:rtl w:val="0"/>
        </w:rPr>
        <w:t xml:space="preserve">deux </w:t>
      </w:r>
      <w:r w:rsidDel="00000000" w:rsidR="00000000" w:rsidRPr="00000000">
        <w:rPr>
          <w:rtl w:val="0"/>
        </w:rPr>
        <w:t xml:space="preserve">échangeurs de chaleur à plaques en acier inoxydable (1.4401) : </w:t>
      </w:r>
      <w:r w:rsidDel="00000000" w:rsidR="00000000" w:rsidRPr="00000000">
        <w:rPr>
          <w:rtl w:val="0"/>
        </w:rPr>
        <w:t xml:space="preserve">un sur le côté primaire</w:t>
      </w:r>
      <w:r w:rsidDel="00000000" w:rsidR="00000000" w:rsidRPr="00000000">
        <w:rPr>
          <w:rtl w:val="0"/>
        </w:rPr>
        <w:t xml:space="preserve"> et un sur le côté secondaire. </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Subtitle"/>
        <w:pageBreakBefore w:val="0"/>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D">
      <w:pPr>
        <w:pageBreakBefore w:val="0"/>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Selon la norme EN 14511</w:t>
      </w:r>
    </w:p>
    <w:p w:rsidR="00000000" w:rsidDel="00000000" w:rsidP="00000000" w:rsidRDefault="00000000" w:rsidRPr="00000000" w14:paraId="00000030">
      <w:pPr>
        <w:pageBreakBefore w:val="0"/>
        <w:numPr>
          <w:ilvl w:val="0"/>
          <w:numId w:val="5"/>
        </w:numPr>
        <w:ind w:left="720" w:hanging="360"/>
      </w:pPr>
      <w:r w:rsidDel="00000000" w:rsidR="00000000" w:rsidRPr="00000000">
        <w:rPr>
          <w:rtl w:val="0"/>
        </w:rPr>
        <w:t xml:space="preserve">Puissance thermique B0/W35 : 5.76 jusqu'à 17.35 kW</w:t>
      </w:r>
    </w:p>
    <w:p w:rsidR="00000000" w:rsidDel="00000000" w:rsidP="00000000" w:rsidRDefault="00000000" w:rsidRPr="00000000" w14:paraId="00000031">
      <w:pPr>
        <w:pageBreakBefore w:val="0"/>
        <w:numPr>
          <w:ilvl w:val="0"/>
          <w:numId w:val="5"/>
        </w:numPr>
        <w:ind w:left="720" w:hanging="360"/>
      </w:pPr>
      <w:r w:rsidDel="00000000" w:rsidR="00000000" w:rsidRPr="00000000">
        <w:rPr>
          <w:rtl w:val="0"/>
        </w:rPr>
        <w:t xml:space="preserve">COP B0/W35 : 4.6 jusqu'à 4.93 (EN14511:2018)</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Selon le règlement de l'UE 813/2013 (ratios climatiques moyens)</w:t>
      </w:r>
    </w:p>
    <w:p w:rsidR="00000000" w:rsidDel="00000000" w:rsidP="00000000" w:rsidRDefault="00000000" w:rsidRPr="00000000" w14:paraId="00000034">
      <w:pPr>
        <w:pageBreakBefore w:val="0"/>
        <w:numPr>
          <w:ilvl w:val="0"/>
          <w:numId w:val="6"/>
        </w:numPr>
        <w:ind w:left="720" w:hanging="360"/>
      </w:pPr>
      <w:r w:rsidDel="00000000" w:rsidR="00000000" w:rsidRPr="00000000">
        <w:rPr>
          <w:rtl w:val="0"/>
        </w:rPr>
        <w:t xml:space="preserve">SCOP (35): 4.86 jusqu'à 5.32</w:t>
      </w:r>
    </w:p>
    <w:p w:rsidR="00000000" w:rsidDel="00000000" w:rsidP="00000000" w:rsidRDefault="00000000" w:rsidRPr="00000000" w14:paraId="00000035">
      <w:pPr>
        <w:pageBreakBefore w:val="0"/>
        <w:numPr>
          <w:ilvl w:val="0"/>
          <w:numId w:val="6"/>
        </w:numPr>
        <w:ind w:left="720" w:hanging="360"/>
      </w:pPr>
      <w:r w:rsidDel="00000000" w:rsidR="00000000" w:rsidRPr="00000000">
        <w:rPr>
          <w:rtl w:val="0"/>
        </w:rPr>
        <w:t xml:space="preserve">SCOP (55): 3.56 jusqu'à 3.97</w:t>
      </w:r>
    </w:p>
    <w:p w:rsidR="00000000" w:rsidDel="00000000" w:rsidP="00000000" w:rsidRDefault="00000000" w:rsidRPr="00000000" w14:paraId="00000036">
      <w:pPr>
        <w:pageBreakBefore w:val="0"/>
        <w:numPr>
          <w:ilvl w:val="0"/>
          <w:numId w:val="6"/>
        </w:numPr>
        <w:ind w:left="720" w:hanging="360"/>
      </w:pPr>
      <w:r w:rsidDel="00000000" w:rsidR="00000000" w:rsidRPr="00000000">
        <w:rPr>
          <w:rtl w:val="0"/>
        </w:rPr>
        <w:t xml:space="preserve">ƞ (35):  186 jusqu'à 204%</w:t>
      </w:r>
    </w:p>
    <w:p w:rsidR="00000000" w:rsidDel="00000000" w:rsidP="00000000" w:rsidRDefault="00000000" w:rsidRPr="00000000" w14:paraId="00000037">
      <w:pPr>
        <w:pageBreakBefore w:val="0"/>
        <w:numPr>
          <w:ilvl w:val="0"/>
          <w:numId w:val="6"/>
        </w:numPr>
        <w:ind w:left="720" w:hanging="360"/>
      </w:pPr>
      <w:r w:rsidDel="00000000" w:rsidR="00000000" w:rsidRPr="00000000">
        <w:rPr>
          <w:rtl w:val="0"/>
        </w:rPr>
        <w:t xml:space="preserve">ƞ (55): 134 jusqu'à 150%</w:t>
      </w:r>
    </w:p>
    <w:p w:rsidR="00000000" w:rsidDel="00000000" w:rsidP="00000000" w:rsidRDefault="00000000" w:rsidRPr="00000000" w14:paraId="00000038">
      <w:pPr>
        <w:pageBreakBefore w:val="0"/>
        <w:numPr>
          <w:ilvl w:val="0"/>
          <w:numId w:val="6"/>
        </w:numPr>
        <w:ind w:left="720" w:hanging="360"/>
      </w:pPr>
      <w:r w:rsidDel="00000000" w:rsidR="00000000" w:rsidRPr="00000000">
        <w:rPr>
          <w:rtl w:val="0"/>
        </w:rPr>
        <w:t xml:space="preserve">Niveau de puissance acoustique selon ErP B0/W55 : 40 jusqu'à 49dB(A)</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Propriétés de refroidissement</w:t>
      </w:r>
    </w:p>
    <w:p w:rsidR="00000000" w:rsidDel="00000000" w:rsidP="00000000" w:rsidRDefault="00000000" w:rsidRPr="00000000" w14:paraId="0000003B">
      <w:pPr>
        <w:pageBreakBefore w:val="0"/>
        <w:rPr/>
      </w:pPr>
      <w:r w:rsidDel="00000000" w:rsidR="00000000" w:rsidRPr="00000000">
        <w:rPr>
          <w:rtl w:val="0"/>
        </w:rPr>
        <w:t xml:space="preserve">Réfrigérant: R410-A</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Autres propriétés</w:t>
      </w:r>
    </w:p>
    <w:p w:rsidR="00000000" w:rsidDel="00000000" w:rsidP="00000000" w:rsidRDefault="00000000" w:rsidRPr="00000000" w14:paraId="0000003E">
      <w:pPr>
        <w:pageBreakBefore w:val="0"/>
        <w:rPr/>
      </w:pPr>
      <w:r w:rsidDel="00000000" w:rsidR="00000000" w:rsidRPr="00000000">
        <w:rPr>
          <w:rtl w:val="0"/>
        </w:rPr>
        <w:t xml:space="preserve">Diamètres des raccords hydrauliques</w:t>
      </w:r>
    </w:p>
    <w:p w:rsidR="00000000" w:rsidDel="00000000" w:rsidP="00000000" w:rsidRDefault="00000000" w:rsidRPr="00000000" w14:paraId="0000003F">
      <w:pPr>
        <w:pageBreakBefore w:val="0"/>
        <w:numPr>
          <w:ilvl w:val="0"/>
          <w:numId w:val="3"/>
        </w:numPr>
        <w:ind w:left="720" w:hanging="360"/>
      </w:pPr>
      <w:r w:rsidDel="00000000" w:rsidR="00000000" w:rsidRPr="00000000">
        <w:rPr>
          <w:rtl w:val="0"/>
        </w:rPr>
        <w:t xml:space="preserve">CV : Cu 28</w:t>
      </w:r>
    </w:p>
    <w:p w:rsidR="00000000" w:rsidDel="00000000" w:rsidP="00000000" w:rsidRDefault="00000000" w:rsidRPr="00000000" w14:paraId="00000040">
      <w:pPr>
        <w:pageBreakBefore w:val="0"/>
        <w:numPr>
          <w:ilvl w:val="0"/>
          <w:numId w:val="3"/>
        </w:numPr>
        <w:ind w:left="720" w:hanging="360"/>
      </w:pPr>
      <w:r w:rsidDel="00000000" w:rsidR="00000000" w:rsidRPr="00000000">
        <w:rPr>
          <w:rtl w:val="0"/>
        </w:rPr>
        <w:t xml:space="preserve">Pression admissible: 3 bar</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Dimensions :</w:t>
      </w:r>
    </w:p>
    <w:p w:rsidR="00000000" w:rsidDel="00000000" w:rsidP="00000000" w:rsidRDefault="00000000" w:rsidRPr="00000000" w14:paraId="00000045">
      <w:pPr>
        <w:pageBreakBefore w:val="0"/>
        <w:rPr/>
      </w:pPr>
      <w:r w:rsidDel="00000000" w:rsidR="00000000" w:rsidRPr="00000000">
        <w:rPr>
          <w:rtl w:val="0"/>
        </w:rPr>
        <w:t xml:space="preserve">Unité intérieure : 680 x 600 x 1081mm (lxlxh)</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La pompe à chaleur est dans la version de base du type eau souterraine / eau et peut être convertie en eau / eau. Les différents composants internes de la pompe à chaleur sont accessibles par l'avant ainsi que par l'un des côtés. Toutes les caractéristiques techniques de la pompe à chaleur qui seront mentionnées dans les documents techniques ou l'offre de prix (puissance calorifique, puissance frigorifique, COP, consommation électrique, ...) seront conformes aux valeurs de référence de la norme EN 14511 et du règlement européen 813/2013. Sur demande, les diagrammes de capacité mentionnant tous les domaines de fonctionnement possibles de la pompe à chaleur proposée seront mis à la disposition du descripteur ou du client.</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Pertes de charge externes aux débits minimums des composants suivants sont respectivement:</w:t>
      </w:r>
    </w:p>
    <w:p w:rsidR="00000000" w:rsidDel="00000000" w:rsidP="00000000" w:rsidRDefault="00000000" w:rsidRPr="00000000" w14:paraId="0000004C">
      <w:pPr>
        <w:pageBreakBefore w:val="0"/>
        <w:numPr>
          <w:ilvl w:val="0"/>
          <w:numId w:val="1"/>
        </w:numPr>
        <w:ind w:left="720" w:hanging="360"/>
      </w:pPr>
      <w:r w:rsidDel="00000000" w:rsidR="00000000" w:rsidRPr="00000000">
        <w:rPr>
          <w:rtl w:val="0"/>
        </w:rPr>
        <w:t xml:space="preserve">condenseur : 610-910 mbar</w:t>
      </w:r>
    </w:p>
    <w:p w:rsidR="00000000" w:rsidDel="00000000" w:rsidP="00000000" w:rsidRDefault="00000000" w:rsidRPr="00000000" w14:paraId="0000004D">
      <w:pPr>
        <w:pageBreakBefore w:val="0"/>
        <w:numPr>
          <w:ilvl w:val="0"/>
          <w:numId w:val="1"/>
        </w:numPr>
        <w:ind w:left="720" w:hanging="360"/>
      </w:pPr>
      <w:r w:rsidDel="00000000" w:rsidR="00000000" w:rsidRPr="00000000">
        <w:rPr>
          <w:rtl w:val="0"/>
        </w:rPr>
        <w:t xml:space="preserve">vaporisateur : 580-869 mbar</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Style w:val="Subtitle"/>
        <w:pageBreakBefore w:val="0"/>
        <w:rPr/>
      </w:pPr>
      <w:bookmarkStart w:colFirst="0" w:colLast="0" w:name="_gim5xsqjeqsd" w:id="4"/>
      <w:bookmarkEnd w:id="4"/>
      <w:r w:rsidDel="00000000" w:rsidR="00000000" w:rsidRPr="00000000">
        <w:rPr>
          <w:rtl w:val="0"/>
        </w:rPr>
        <w:t xml:space="preserve">Équipement</w:t>
      </w:r>
    </w:p>
    <w:p w:rsidR="00000000" w:rsidDel="00000000" w:rsidP="00000000" w:rsidRDefault="00000000" w:rsidRPr="00000000" w14:paraId="00000051">
      <w:pPr>
        <w:pageBreakBefore w:val="0"/>
        <w:rPr/>
      </w:pPr>
      <w:r w:rsidDel="00000000" w:rsidR="00000000" w:rsidRPr="00000000">
        <w:rPr>
          <w:rtl w:val="0"/>
        </w:rPr>
        <w:t xml:space="preserve">La pompe à chaleur est équipée de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Pompe à chaleur eau glycolée/eau dans un boîtier compact</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Vanne d'inversion 3 voies "Chauffage/Production d'ECS" intégrée</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Circulateur à haute efficacité énergétique intégré pour le circuit primaire (eau glycolée)</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Circulateur à haute efficacité énergétique intégré pour le circuit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secondaire (eau de chauffage)</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Système chauffant électrique intégré</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Groupe de sécurité pour circuit de chauffage</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Régulation de pompe à chaleur en fonction de la température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extérieure Vitotronic 200 avec sonde de température extérieure</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Limitation électronique du courant de démarrage et surveillance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des phases intégrée</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Tubes de raccordement pour le départ et le retour du circuit primaire (eau glycolée), du circuit de chauffage et du départ ECS (circuit secondaire) pour le raccordement par le haut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